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51" w:rsidRPr="003A3451" w:rsidRDefault="005001AB" w:rsidP="003A3451">
      <w:pPr>
        <w:rPr>
          <w:sz w:val="22"/>
        </w:rPr>
      </w:pPr>
      <w:r>
        <w:rPr>
          <w:noProof/>
          <w:sz w:val="22"/>
        </w:rPr>
        <w:drawing>
          <wp:anchor distT="0" distB="0" distL="114300" distR="114300" simplePos="0" relativeHeight="251660288" behindDoc="1" locked="0" layoutInCell="1" allowOverlap="1">
            <wp:simplePos x="0" y="0"/>
            <wp:positionH relativeFrom="column">
              <wp:posOffset>2695575</wp:posOffset>
            </wp:positionH>
            <wp:positionV relativeFrom="paragraph">
              <wp:posOffset>-523875</wp:posOffset>
            </wp:positionV>
            <wp:extent cx="3743325" cy="7702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D_Lockup_Horiz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3325" cy="770255"/>
                    </a:xfrm>
                    <a:prstGeom prst="rect">
                      <a:avLst/>
                    </a:prstGeom>
                  </pic:spPr>
                </pic:pic>
              </a:graphicData>
            </a:graphic>
            <wp14:sizeRelH relativeFrom="page">
              <wp14:pctWidth>0</wp14:pctWidth>
            </wp14:sizeRelH>
            <wp14:sizeRelV relativeFrom="page">
              <wp14:pctHeight>0</wp14:pctHeight>
            </wp14:sizeRelV>
          </wp:anchor>
        </w:drawing>
      </w:r>
      <w:r w:rsidR="00AD3842">
        <w:rPr>
          <w:noProof/>
          <w:sz w:val="22"/>
        </w:rPr>
        <w:drawing>
          <wp:anchor distT="0" distB="0" distL="114300" distR="114300" simplePos="0" relativeHeight="251659264" behindDoc="1" locked="0" layoutInCell="1" allowOverlap="1">
            <wp:simplePos x="0" y="0"/>
            <wp:positionH relativeFrom="column">
              <wp:posOffset>-1314450</wp:posOffset>
            </wp:positionH>
            <wp:positionV relativeFrom="paragraph">
              <wp:posOffset>-768879</wp:posOffset>
            </wp:positionV>
            <wp:extent cx="2814364" cy="1307042"/>
            <wp:effectExtent l="0" t="0" r="5080" b="7620"/>
            <wp:wrapNone/>
            <wp:docPr id="2" name="Picture 0" descr="ada_WA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ada_WA_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r="61308"/>
                    <a:stretch>
                      <a:fillRect/>
                    </a:stretch>
                  </pic:blipFill>
                  <pic:spPr bwMode="auto">
                    <a:xfrm>
                      <a:off x="0" y="0"/>
                      <a:ext cx="2814364" cy="1307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3A3451" w:rsidRPr="003A3451" w:rsidRDefault="003A3451" w:rsidP="003A3451">
      <w:pPr>
        <w:rPr>
          <w:sz w:val="22"/>
        </w:rPr>
      </w:pPr>
    </w:p>
    <w:p w:rsidR="003A3451" w:rsidRPr="003A3451" w:rsidRDefault="003A3451" w:rsidP="003A3451">
      <w:pPr>
        <w:rPr>
          <w:sz w:val="22"/>
        </w:rPr>
      </w:pPr>
    </w:p>
    <w:p w:rsidR="00521EF8" w:rsidRDefault="00521EF8" w:rsidP="00521EF8">
      <w:pPr>
        <w:rPr>
          <w:sz w:val="22"/>
          <w:szCs w:val="22"/>
        </w:rPr>
      </w:pPr>
    </w:p>
    <w:p w:rsidR="00521EF8" w:rsidRPr="00842B69" w:rsidRDefault="00521EF8" w:rsidP="00521EF8">
      <w:pPr>
        <w:rPr>
          <w:sz w:val="22"/>
          <w:szCs w:val="22"/>
        </w:rPr>
      </w:pPr>
      <w:r>
        <w:rPr>
          <w:sz w:val="22"/>
          <w:szCs w:val="22"/>
        </w:rPr>
        <w:t>September 13, 201</w:t>
      </w:r>
      <w:r w:rsidRPr="00842B69">
        <w:rPr>
          <w:sz w:val="22"/>
          <w:szCs w:val="22"/>
        </w:rPr>
        <w:t>7</w:t>
      </w:r>
    </w:p>
    <w:p w:rsidR="00521EF8" w:rsidRPr="00842B69" w:rsidRDefault="00521EF8" w:rsidP="00521EF8">
      <w:pPr>
        <w:rPr>
          <w:sz w:val="22"/>
          <w:szCs w:val="22"/>
        </w:rPr>
      </w:pPr>
    </w:p>
    <w:p w:rsidR="00521EF8" w:rsidRPr="00BD407E" w:rsidRDefault="00521EF8" w:rsidP="00521EF8">
      <w:pPr>
        <w:tabs>
          <w:tab w:val="left" w:pos="5040"/>
        </w:tabs>
        <w:rPr>
          <w:rFonts w:eastAsia="Times New Roman"/>
          <w:sz w:val="22"/>
          <w:szCs w:val="22"/>
        </w:rPr>
      </w:pPr>
      <w:r w:rsidRPr="00842B69">
        <w:rPr>
          <w:rFonts w:eastAsia="Times New Roman"/>
          <w:sz w:val="22"/>
          <w:szCs w:val="22"/>
        </w:rPr>
        <w:t xml:space="preserve">The Honorable </w:t>
      </w:r>
      <w:r>
        <w:rPr>
          <w:rFonts w:eastAsia="Times New Roman"/>
          <w:sz w:val="22"/>
          <w:szCs w:val="22"/>
        </w:rPr>
        <w:t>Orrin Hatch</w:t>
      </w:r>
      <w:r w:rsidRPr="00BD407E">
        <w:rPr>
          <w:rFonts w:eastAsia="Times New Roman"/>
          <w:sz w:val="22"/>
          <w:szCs w:val="22"/>
        </w:rPr>
        <w:tab/>
      </w:r>
      <w:proofErr w:type="gramStart"/>
      <w:r w:rsidRPr="00BD407E">
        <w:rPr>
          <w:rFonts w:eastAsia="Times New Roman"/>
          <w:sz w:val="22"/>
          <w:szCs w:val="22"/>
        </w:rPr>
        <w:t>The</w:t>
      </w:r>
      <w:proofErr w:type="gramEnd"/>
      <w:r w:rsidRPr="00BD407E">
        <w:rPr>
          <w:rFonts w:eastAsia="Times New Roman"/>
          <w:sz w:val="22"/>
          <w:szCs w:val="22"/>
        </w:rPr>
        <w:t xml:space="preserve"> Honorable</w:t>
      </w:r>
      <w:r w:rsidRPr="00842B69">
        <w:rPr>
          <w:rFonts w:eastAsia="Times New Roman"/>
          <w:sz w:val="22"/>
          <w:szCs w:val="22"/>
        </w:rPr>
        <w:t xml:space="preserve"> R</w:t>
      </w:r>
      <w:r>
        <w:rPr>
          <w:rFonts w:eastAsia="Times New Roman"/>
          <w:sz w:val="22"/>
          <w:szCs w:val="22"/>
        </w:rPr>
        <w:t>on Wyden</w:t>
      </w:r>
    </w:p>
    <w:p w:rsidR="00521EF8" w:rsidRPr="00BD407E" w:rsidRDefault="00521EF8" w:rsidP="00521EF8">
      <w:pPr>
        <w:tabs>
          <w:tab w:val="left" w:pos="5040"/>
        </w:tabs>
        <w:rPr>
          <w:rFonts w:eastAsia="Times New Roman"/>
          <w:sz w:val="22"/>
          <w:szCs w:val="22"/>
        </w:rPr>
      </w:pPr>
      <w:r w:rsidRPr="00842B69">
        <w:rPr>
          <w:rFonts w:eastAsia="Times New Roman"/>
          <w:sz w:val="22"/>
          <w:szCs w:val="22"/>
        </w:rPr>
        <w:t>Chairman</w:t>
      </w:r>
      <w:r w:rsidRPr="00BD407E">
        <w:rPr>
          <w:rFonts w:eastAsia="Times New Roman"/>
          <w:sz w:val="22"/>
          <w:szCs w:val="22"/>
        </w:rPr>
        <w:tab/>
        <w:t>Ranking Member</w:t>
      </w:r>
    </w:p>
    <w:p w:rsidR="00521EF8" w:rsidRPr="00BD407E" w:rsidRDefault="00521EF8" w:rsidP="00521EF8">
      <w:pPr>
        <w:tabs>
          <w:tab w:val="left" w:pos="5040"/>
        </w:tabs>
        <w:rPr>
          <w:rFonts w:eastAsia="Times New Roman"/>
          <w:sz w:val="22"/>
          <w:szCs w:val="24"/>
        </w:rPr>
      </w:pPr>
      <w:r>
        <w:rPr>
          <w:rFonts w:eastAsia="Times New Roman"/>
          <w:sz w:val="22"/>
          <w:szCs w:val="24"/>
        </w:rPr>
        <w:t xml:space="preserve">Senate </w:t>
      </w:r>
      <w:r w:rsidRPr="00842B69">
        <w:rPr>
          <w:rFonts w:eastAsia="Times New Roman"/>
          <w:sz w:val="22"/>
          <w:szCs w:val="24"/>
        </w:rPr>
        <w:t xml:space="preserve">Committee on </w:t>
      </w:r>
      <w:r>
        <w:rPr>
          <w:rFonts w:eastAsia="Times New Roman"/>
          <w:sz w:val="22"/>
          <w:szCs w:val="24"/>
        </w:rPr>
        <w:t>Finance</w:t>
      </w:r>
      <w:r w:rsidRPr="00BD407E">
        <w:rPr>
          <w:rFonts w:eastAsia="Times New Roman"/>
          <w:sz w:val="22"/>
          <w:szCs w:val="24"/>
        </w:rPr>
        <w:tab/>
      </w:r>
      <w:r>
        <w:rPr>
          <w:rFonts w:eastAsia="Times New Roman"/>
          <w:sz w:val="22"/>
          <w:szCs w:val="24"/>
        </w:rPr>
        <w:t xml:space="preserve">Senate </w:t>
      </w:r>
      <w:r w:rsidRPr="00842B69">
        <w:rPr>
          <w:rFonts w:eastAsia="Times New Roman"/>
          <w:sz w:val="22"/>
          <w:szCs w:val="24"/>
        </w:rPr>
        <w:t xml:space="preserve">Committee on </w:t>
      </w:r>
      <w:r>
        <w:rPr>
          <w:rFonts w:eastAsia="Times New Roman"/>
          <w:sz w:val="22"/>
          <w:szCs w:val="24"/>
        </w:rPr>
        <w:t>Finance</w:t>
      </w:r>
    </w:p>
    <w:p w:rsidR="00521EF8" w:rsidRPr="00BD407E" w:rsidRDefault="00521EF8" w:rsidP="00521EF8">
      <w:pPr>
        <w:tabs>
          <w:tab w:val="left" w:pos="5040"/>
        </w:tabs>
        <w:rPr>
          <w:rFonts w:eastAsia="Times New Roman"/>
          <w:sz w:val="22"/>
          <w:szCs w:val="24"/>
        </w:rPr>
      </w:pPr>
      <w:r w:rsidRPr="00073853">
        <w:rPr>
          <w:rFonts w:eastAsia="Times New Roman"/>
          <w:sz w:val="22"/>
          <w:szCs w:val="24"/>
        </w:rPr>
        <w:t>104 Hart Senate Office Building</w:t>
      </w:r>
      <w:r w:rsidRPr="00BD407E">
        <w:rPr>
          <w:rFonts w:eastAsia="Times New Roman"/>
          <w:sz w:val="22"/>
          <w:szCs w:val="24"/>
        </w:rPr>
        <w:tab/>
      </w:r>
      <w:r w:rsidRPr="00073853">
        <w:rPr>
          <w:rFonts w:eastAsia="Times New Roman"/>
          <w:sz w:val="22"/>
          <w:szCs w:val="24"/>
        </w:rPr>
        <w:t>221 Dirksen Senate Office Building</w:t>
      </w:r>
      <w:r w:rsidRPr="00842B69">
        <w:rPr>
          <w:rFonts w:eastAsia="Times New Roman"/>
          <w:sz w:val="22"/>
          <w:szCs w:val="24"/>
        </w:rPr>
        <w:t xml:space="preserve"> </w:t>
      </w:r>
      <w:r w:rsidRPr="00BD407E">
        <w:rPr>
          <w:rFonts w:eastAsia="Times New Roman"/>
          <w:sz w:val="22"/>
          <w:szCs w:val="24"/>
        </w:rPr>
        <w:t>Washington, DC 20515</w:t>
      </w:r>
      <w:r w:rsidRPr="00BD407E">
        <w:rPr>
          <w:rFonts w:eastAsia="Times New Roman"/>
          <w:sz w:val="22"/>
          <w:szCs w:val="24"/>
        </w:rPr>
        <w:tab/>
        <w:t>Washington, DC 20515</w:t>
      </w:r>
    </w:p>
    <w:p w:rsidR="00521EF8" w:rsidRPr="00842B69" w:rsidRDefault="00521EF8" w:rsidP="00521EF8">
      <w:pPr>
        <w:rPr>
          <w:sz w:val="24"/>
          <w:szCs w:val="22"/>
        </w:rPr>
      </w:pPr>
    </w:p>
    <w:p w:rsidR="00521EF8" w:rsidRPr="00842B69" w:rsidRDefault="00521EF8" w:rsidP="00521EF8">
      <w:pPr>
        <w:rPr>
          <w:sz w:val="22"/>
        </w:rPr>
      </w:pPr>
    </w:p>
    <w:p w:rsidR="00521EF8" w:rsidRDefault="00521EF8" w:rsidP="00521EF8">
      <w:r w:rsidRPr="00842B69">
        <w:rPr>
          <w:sz w:val="22"/>
        </w:rPr>
        <w:t xml:space="preserve">Dear Chairman </w:t>
      </w:r>
      <w:r>
        <w:rPr>
          <w:sz w:val="22"/>
        </w:rPr>
        <w:t>Hatch</w:t>
      </w:r>
      <w:r w:rsidRPr="00842B69">
        <w:rPr>
          <w:sz w:val="22"/>
        </w:rPr>
        <w:t xml:space="preserve"> and Ranking Member </w:t>
      </w:r>
      <w:r>
        <w:rPr>
          <w:sz w:val="22"/>
        </w:rPr>
        <w:t>Wyden</w:t>
      </w:r>
      <w:r w:rsidRPr="00842B69">
        <w:rPr>
          <w:sz w:val="22"/>
        </w:rPr>
        <w:t>,</w:t>
      </w:r>
    </w:p>
    <w:p w:rsidR="00521EF8" w:rsidRDefault="00521EF8" w:rsidP="00521EF8"/>
    <w:p w:rsidR="00521EF8" w:rsidRPr="00CE0141" w:rsidRDefault="00521EF8" w:rsidP="00521EF8">
      <w:pPr>
        <w:rPr>
          <w:sz w:val="22"/>
          <w:szCs w:val="22"/>
        </w:rPr>
      </w:pPr>
      <w:r w:rsidRPr="000E65DA">
        <w:rPr>
          <w:sz w:val="22"/>
          <w:szCs w:val="22"/>
        </w:rPr>
        <w:t>On</w:t>
      </w:r>
      <w:r>
        <w:rPr>
          <w:sz w:val="22"/>
          <w:szCs w:val="22"/>
        </w:rPr>
        <w:t xml:space="preserve"> behalf of the American Dental Association (ADA) and its 161,000 members and the American Academy of Pediatric Dentistry (AAPD) and its 10,000 members, </w:t>
      </w:r>
      <w:r w:rsidRPr="000E65DA">
        <w:rPr>
          <w:sz w:val="22"/>
          <w:szCs w:val="22"/>
        </w:rPr>
        <w:t>we applaud the Committee</w:t>
      </w:r>
      <w:r>
        <w:rPr>
          <w:sz w:val="22"/>
          <w:szCs w:val="22"/>
        </w:rPr>
        <w:t xml:space="preserve">’s </w:t>
      </w:r>
      <w:r w:rsidRPr="000E65DA">
        <w:rPr>
          <w:sz w:val="22"/>
          <w:szCs w:val="22"/>
        </w:rPr>
        <w:t xml:space="preserve">efforts to examine the future of the Children's Health Insurance Program (CHIP) at </w:t>
      </w:r>
      <w:r>
        <w:rPr>
          <w:sz w:val="22"/>
          <w:szCs w:val="22"/>
        </w:rPr>
        <w:t>the September 7 hearing</w:t>
      </w:r>
      <w:r w:rsidRPr="000E65DA">
        <w:rPr>
          <w:sz w:val="22"/>
          <w:szCs w:val="22"/>
        </w:rPr>
        <w:t xml:space="preserve">, “CHIP: The Path Forward.”  </w:t>
      </w:r>
      <w:r>
        <w:rPr>
          <w:sz w:val="22"/>
          <w:szCs w:val="22"/>
        </w:rPr>
        <w:t xml:space="preserve">The ADA and AAPD are committed to ensuring access to oral health services for all populations, especially the children and pregnant women covered by CHIP.  </w:t>
      </w:r>
      <w:r w:rsidR="00CE0141">
        <w:rPr>
          <w:sz w:val="22"/>
          <w:szCs w:val="22"/>
        </w:rPr>
        <w:t xml:space="preserve">While both of our organizations are encouraged by the announcement that bipartisan efforts to craft CHIP reauthorization legislation are in the final stages, </w:t>
      </w:r>
      <w:r w:rsidR="00CE0141" w:rsidRPr="00CE0141">
        <w:rPr>
          <w:sz w:val="22"/>
          <w:szCs w:val="22"/>
        </w:rPr>
        <w:t>t</w:t>
      </w:r>
      <w:r w:rsidRPr="00CE0141">
        <w:rPr>
          <w:sz w:val="22"/>
          <w:szCs w:val="22"/>
        </w:rPr>
        <w:t>he ADA and the AAPD urge Congress to reauthorize the CHIP program</w:t>
      </w:r>
      <w:r w:rsidRPr="00BA1D33">
        <w:rPr>
          <w:b/>
          <w:sz w:val="22"/>
          <w:szCs w:val="22"/>
        </w:rPr>
        <w:t xml:space="preserve"> before the deadline on September 30 </w:t>
      </w:r>
      <w:r w:rsidR="00CE0141">
        <w:rPr>
          <w:sz w:val="22"/>
          <w:szCs w:val="22"/>
        </w:rPr>
        <w:t>to</w:t>
      </w:r>
      <w:bookmarkStart w:id="0" w:name="_GoBack"/>
      <w:bookmarkEnd w:id="0"/>
      <w:r w:rsidRPr="00CE0141">
        <w:rPr>
          <w:sz w:val="22"/>
          <w:szCs w:val="22"/>
        </w:rPr>
        <w:t xml:space="preserve"> ensure continued and seamless access to oral health care for our nation’s children.  </w:t>
      </w:r>
    </w:p>
    <w:p w:rsidR="00521EF8" w:rsidRPr="000E65DA" w:rsidRDefault="00521EF8" w:rsidP="00521EF8">
      <w:pPr>
        <w:rPr>
          <w:sz w:val="22"/>
          <w:szCs w:val="22"/>
        </w:rPr>
      </w:pPr>
    </w:p>
    <w:p w:rsidR="00521EF8" w:rsidRPr="000E65DA" w:rsidRDefault="00521EF8" w:rsidP="00521EF8">
      <w:pPr>
        <w:rPr>
          <w:sz w:val="22"/>
          <w:szCs w:val="22"/>
        </w:rPr>
      </w:pPr>
      <w:r>
        <w:rPr>
          <w:sz w:val="22"/>
          <w:szCs w:val="22"/>
        </w:rPr>
        <w:t xml:space="preserve">More than 9 million children are covered by CHIP. </w:t>
      </w:r>
      <w:r w:rsidR="00710762">
        <w:rPr>
          <w:sz w:val="22"/>
          <w:szCs w:val="22"/>
        </w:rPr>
        <w:t xml:space="preserve"> </w:t>
      </w:r>
      <w:r>
        <w:rPr>
          <w:sz w:val="22"/>
          <w:szCs w:val="22"/>
        </w:rPr>
        <w:t xml:space="preserve">As a result of their coverage, they benefit from access to oral health services.  </w:t>
      </w:r>
      <w:r w:rsidRPr="000E65DA">
        <w:rPr>
          <w:sz w:val="22"/>
          <w:szCs w:val="22"/>
        </w:rPr>
        <w:t xml:space="preserve">Poor oral health has </w:t>
      </w:r>
      <w:r>
        <w:rPr>
          <w:sz w:val="22"/>
          <w:szCs w:val="22"/>
        </w:rPr>
        <w:t xml:space="preserve">serious </w:t>
      </w:r>
      <w:r w:rsidRPr="000E65DA">
        <w:rPr>
          <w:sz w:val="22"/>
          <w:szCs w:val="22"/>
        </w:rPr>
        <w:t>long-term effects on an individual’s life.</w:t>
      </w:r>
      <w:r w:rsidR="00710762">
        <w:rPr>
          <w:sz w:val="22"/>
          <w:szCs w:val="22"/>
        </w:rPr>
        <w:t xml:space="preserve"> </w:t>
      </w:r>
      <w:r w:rsidRPr="000E65DA">
        <w:rPr>
          <w:sz w:val="22"/>
          <w:szCs w:val="22"/>
        </w:rPr>
        <w:t xml:space="preserve"> Tooth decay remains the most chronic condition among children and adolescents, impacting school performance and attendance. Because it is a progressive, chronic condition, </w:t>
      </w:r>
      <w:r>
        <w:rPr>
          <w:sz w:val="22"/>
          <w:szCs w:val="22"/>
        </w:rPr>
        <w:t xml:space="preserve">a child’s </w:t>
      </w:r>
      <w:r w:rsidRPr="000E65DA">
        <w:rPr>
          <w:sz w:val="22"/>
          <w:szCs w:val="22"/>
        </w:rPr>
        <w:t xml:space="preserve">oral health problems continue on into adulthood impacting employability, military readiness and overall health status. </w:t>
      </w:r>
    </w:p>
    <w:p w:rsidR="00521EF8" w:rsidRPr="000E65DA" w:rsidRDefault="00521EF8" w:rsidP="00521EF8">
      <w:pPr>
        <w:rPr>
          <w:sz w:val="22"/>
          <w:szCs w:val="22"/>
        </w:rPr>
      </w:pPr>
    </w:p>
    <w:p w:rsidR="00521EF8" w:rsidRPr="000E65DA" w:rsidRDefault="00521EF8" w:rsidP="00521EF8">
      <w:pPr>
        <w:rPr>
          <w:sz w:val="22"/>
          <w:szCs w:val="22"/>
        </w:rPr>
      </w:pPr>
      <w:r w:rsidRPr="000E65DA">
        <w:rPr>
          <w:sz w:val="22"/>
          <w:szCs w:val="22"/>
        </w:rPr>
        <w:t xml:space="preserve">Additionally, untreated dental disease has a significant economic impact on our healthcare system. </w:t>
      </w:r>
      <w:r w:rsidR="00710762">
        <w:rPr>
          <w:sz w:val="22"/>
          <w:szCs w:val="22"/>
        </w:rPr>
        <w:t xml:space="preserve"> </w:t>
      </w:r>
      <w:r w:rsidRPr="000E65DA">
        <w:rPr>
          <w:sz w:val="22"/>
          <w:szCs w:val="22"/>
        </w:rPr>
        <w:t>For example, between 2008 and 2010, 4 million Americans went to the emergency room for dental</w:t>
      </w:r>
      <w:r>
        <w:rPr>
          <w:sz w:val="22"/>
          <w:szCs w:val="22"/>
        </w:rPr>
        <w:t>-</w:t>
      </w:r>
      <w:r w:rsidRPr="000E65DA">
        <w:rPr>
          <w:sz w:val="22"/>
          <w:szCs w:val="22"/>
        </w:rPr>
        <w:t>related problems at a cost of $2.7 billion dollars.</w:t>
      </w:r>
      <w:r w:rsidRPr="000E65DA">
        <w:rPr>
          <w:rStyle w:val="FootnoteReference"/>
          <w:sz w:val="22"/>
          <w:szCs w:val="22"/>
        </w:rPr>
        <w:footnoteReference w:id="1"/>
      </w:r>
      <w:r w:rsidRPr="000E65DA">
        <w:rPr>
          <w:sz w:val="22"/>
          <w:szCs w:val="22"/>
        </w:rPr>
        <w:t xml:space="preserve"> </w:t>
      </w:r>
      <w:r w:rsidR="00710762">
        <w:rPr>
          <w:sz w:val="22"/>
          <w:szCs w:val="22"/>
        </w:rPr>
        <w:t xml:space="preserve"> </w:t>
      </w:r>
      <w:r w:rsidRPr="000E65DA">
        <w:rPr>
          <w:sz w:val="22"/>
          <w:szCs w:val="22"/>
        </w:rPr>
        <w:t xml:space="preserve">In 2014, an emergency room visit for a dental condition occurred every 14 seconds in the United States, costing approximately $863 </w:t>
      </w:r>
      <w:r>
        <w:rPr>
          <w:sz w:val="22"/>
          <w:szCs w:val="22"/>
        </w:rPr>
        <w:t>a</w:t>
      </w:r>
      <w:r w:rsidRPr="000E65DA">
        <w:rPr>
          <w:sz w:val="22"/>
          <w:szCs w:val="22"/>
        </w:rPr>
        <w:t xml:space="preserve"> visit compared with an average dental office visit cost of $240.</w:t>
      </w:r>
      <w:r w:rsidRPr="000E65DA">
        <w:rPr>
          <w:rStyle w:val="FootnoteReference"/>
          <w:sz w:val="22"/>
          <w:szCs w:val="22"/>
        </w:rPr>
        <w:footnoteReference w:id="2"/>
      </w:r>
      <w:r w:rsidRPr="000E65DA">
        <w:rPr>
          <w:sz w:val="22"/>
          <w:szCs w:val="22"/>
        </w:rPr>
        <w:t xml:space="preserve"> </w:t>
      </w:r>
    </w:p>
    <w:p w:rsidR="00521EF8" w:rsidRPr="000E65DA" w:rsidRDefault="00521EF8" w:rsidP="00521EF8">
      <w:pPr>
        <w:rPr>
          <w:sz w:val="22"/>
          <w:szCs w:val="22"/>
        </w:rPr>
      </w:pPr>
    </w:p>
    <w:p w:rsidR="00521EF8" w:rsidRPr="000E65DA" w:rsidRDefault="00521EF8" w:rsidP="00521EF8">
      <w:pPr>
        <w:rPr>
          <w:rFonts w:ascii="Times" w:eastAsia="Times New Roman" w:hAnsi="Times" w:cs="Times New Roman"/>
          <w:sz w:val="22"/>
          <w:szCs w:val="22"/>
        </w:rPr>
      </w:pPr>
      <w:r w:rsidRPr="000E65DA">
        <w:rPr>
          <w:sz w:val="22"/>
          <w:szCs w:val="22"/>
        </w:rPr>
        <w:t>The good news</w:t>
      </w:r>
      <w:r>
        <w:rPr>
          <w:sz w:val="22"/>
          <w:szCs w:val="22"/>
        </w:rPr>
        <w:t xml:space="preserve">: </w:t>
      </w:r>
      <w:r w:rsidRPr="000E65DA">
        <w:rPr>
          <w:sz w:val="22"/>
          <w:szCs w:val="22"/>
        </w:rPr>
        <w:t>the percentage of children without dental coverage has been cut in half</w:t>
      </w:r>
      <w:r>
        <w:rPr>
          <w:sz w:val="22"/>
          <w:szCs w:val="22"/>
        </w:rPr>
        <w:t xml:space="preserve"> since 2000</w:t>
      </w:r>
      <w:r w:rsidRPr="000E65DA">
        <w:rPr>
          <w:sz w:val="22"/>
          <w:szCs w:val="22"/>
        </w:rPr>
        <w:t>.</w:t>
      </w:r>
      <w:r w:rsidRPr="000E65DA">
        <w:rPr>
          <w:rStyle w:val="FootnoteReference"/>
          <w:sz w:val="22"/>
          <w:szCs w:val="22"/>
        </w:rPr>
        <w:footnoteReference w:id="3"/>
      </w:r>
      <w:r w:rsidRPr="000E65DA">
        <w:rPr>
          <w:sz w:val="22"/>
          <w:szCs w:val="22"/>
        </w:rPr>
        <w:t xml:space="preserve"> </w:t>
      </w:r>
      <w:r>
        <w:rPr>
          <w:sz w:val="22"/>
          <w:szCs w:val="22"/>
        </w:rPr>
        <w:t xml:space="preserve"> </w:t>
      </w:r>
      <w:r w:rsidRPr="000E65DA">
        <w:rPr>
          <w:sz w:val="22"/>
          <w:szCs w:val="22"/>
        </w:rPr>
        <w:t>A</w:t>
      </w:r>
      <w:r w:rsidRPr="000E65DA">
        <w:rPr>
          <w:rFonts w:eastAsia="Times New Roman"/>
          <w:sz w:val="22"/>
          <w:szCs w:val="22"/>
        </w:rPr>
        <w:t xml:space="preserve">s public insurance has reached greater numbers of children, the rate of untreated decay has fallen among </w:t>
      </w:r>
      <w:r>
        <w:rPr>
          <w:rFonts w:eastAsia="Times New Roman"/>
          <w:sz w:val="22"/>
          <w:szCs w:val="22"/>
        </w:rPr>
        <w:t xml:space="preserve">young </w:t>
      </w:r>
      <w:r w:rsidRPr="000E65DA">
        <w:rPr>
          <w:rFonts w:eastAsia="Times New Roman"/>
          <w:sz w:val="22"/>
          <w:szCs w:val="22"/>
        </w:rPr>
        <w:t xml:space="preserve">low-income </w:t>
      </w:r>
      <w:r>
        <w:rPr>
          <w:rFonts w:eastAsia="Times New Roman"/>
          <w:sz w:val="22"/>
          <w:szCs w:val="22"/>
        </w:rPr>
        <w:t>patient</w:t>
      </w:r>
      <w:r w:rsidRPr="000E65DA">
        <w:rPr>
          <w:rFonts w:eastAsia="Times New Roman"/>
          <w:sz w:val="22"/>
          <w:szCs w:val="22"/>
        </w:rPr>
        <w:t>s</w:t>
      </w:r>
      <w:r>
        <w:rPr>
          <w:rFonts w:eastAsia="Times New Roman"/>
          <w:sz w:val="22"/>
          <w:szCs w:val="22"/>
        </w:rPr>
        <w:t>;</w:t>
      </w:r>
      <w:r w:rsidRPr="000E65DA">
        <w:rPr>
          <w:rStyle w:val="FootnoteReference"/>
          <w:rFonts w:eastAsia="Times New Roman"/>
          <w:sz w:val="22"/>
          <w:szCs w:val="22"/>
        </w:rPr>
        <w:footnoteReference w:id="4"/>
      </w:r>
      <w:r w:rsidRPr="000E65DA">
        <w:rPr>
          <w:rFonts w:eastAsia="Times New Roman"/>
          <w:sz w:val="22"/>
          <w:szCs w:val="22"/>
        </w:rPr>
        <w:t xml:space="preserve"> </w:t>
      </w:r>
      <w:r w:rsidR="00710762">
        <w:rPr>
          <w:rFonts w:eastAsia="Times New Roman"/>
          <w:sz w:val="22"/>
          <w:szCs w:val="22"/>
        </w:rPr>
        <w:t xml:space="preserve"> </w:t>
      </w:r>
      <w:r>
        <w:rPr>
          <w:rFonts w:eastAsia="Times New Roman"/>
          <w:sz w:val="22"/>
          <w:szCs w:val="22"/>
        </w:rPr>
        <w:t>E</w:t>
      </w:r>
      <w:r w:rsidRPr="000E65DA">
        <w:rPr>
          <w:rFonts w:eastAsia="Times New Roman"/>
          <w:sz w:val="22"/>
          <w:szCs w:val="22"/>
        </w:rPr>
        <w:t>mergency department visits for dental</w:t>
      </w:r>
      <w:r>
        <w:rPr>
          <w:rFonts w:eastAsia="Times New Roman"/>
          <w:sz w:val="22"/>
          <w:szCs w:val="22"/>
        </w:rPr>
        <w:t>-</w:t>
      </w:r>
      <w:r w:rsidRPr="000E65DA">
        <w:rPr>
          <w:rFonts w:eastAsia="Times New Roman"/>
          <w:sz w:val="22"/>
          <w:szCs w:val="22"/>
        </w:rPr>
        <w:t xml:space="preserve">related issues decreased for the first time </w:t>
      </w:r>
      <w:r>
        <w:rPr>
          <w:rFonts w:eastAsia="Times New Roman"/>
          <w:sz w:val="22"/>
          <w:szCs w:val="22"/>
        </w:rPr>
        <w:t>in over 10 years</w:t>
      </w:r>
      <w:r w:rsidRPr="000E65DA">
        <w:rPr>
          <w:rFonts w:eastAsia="Times New Roman"/>
          <w:sz w:val="22"/>
          <w:szCs w:val="22"/>
        </w:rPr>
        <w:t xml:space="preserve">, with the largest declines among </w:t>
      </w:r>
      <w:r w:rsidRPr="000E65DA">
        <w:rPr>
          <w:rFonts w:eastAsia="Times New Roman"/>
          <w:sz w:val="22"/>
          <w:szCs w:val="22"/>
        </w:rPr>
        <w:lastRenderedPageBreak/>
        <w:t>children and young adults.</w:t>
      </w:r>
      <w:r w:rsidRPr="000E65DA">
        <w:rPr>
          <w:rStyle w:val="FootnoteReference"/>
          <w:rFonts w:eastAsia="Times New Roman"/>
          <w:sz w:val="22"/>
          <w:szCs w:val="22"/>
        </w:rPr>
        <w:footnoteReference w:id="5"/>
      </w:r>
      <w:r w:rsidRPr="000E65DA">
        <w:rPr>
          <w:rFonts w:eastAsia="Times New Roman"/>
          <w:sz w:val="22"/>
          <w:szCs w:val="22"/>
        </w:rPr>
        <w:t xml:space="preserve"> </w:t>
      </w:r>
      <w:r w:rsidR="00710762">
        <w:rPr>
          <w:rFonts w:eastAsia="Times New Roman"/>
          <w:sz w:val="22"/>
          <w:szCs w:val="22"/>
        </w:rPr>
        <w:t xml:space="preserve"> </w:t>
      </w:r>
      <w:r>
        <w:rPr>
          <w:rFonts w:eastAsia="Times New Roman"/>
          <w:sz w:val="22"/>
          <w:szCs w:val="22"/>
        </w:rPr>
        <w:t>T</w:t>
      </w:r>
      <w:r w:rsidRPr="000E65DA">
        <w:rPr>
          <w:rFonts w:eastAsia="Times New Roman"/>
          <w:sz w:val="22"/>
          <w:szCs w:val="22"/>
        </w:rPr>
        <w:t xml:space="preserve">hese improvements </w:t>
      </w:r>
      <w:r>
        <w:rPr>
          <w:rFonts w:eastAsia="Times New Roman"/>
          <w:sz w:val="22"/>
          <w:szCs w:val="22"/>
        </w:rPr>
        <w:t xml:space="preserve">have been driven by </w:t>
      </w:r>
      <w:r w:rsidRPr="000E65DA">
        <w:rPr>
          <w:rFonts w:eastAsia="Times New Roman"/>
          <w:sz w:val="22"/>
          <w:szCs w:val="22"/>
        </w:rPr>
        <w:t xml:space="preserve">recent improvements to public and private oral health plans. </w:t>
      </w:r>
    </w:p>
    <w:p w:rsidR="00521EF8" w:rsidRPr="000E65DA" w:rsidRDefault="00521EF8" w:rsidP="00521EF8">
      <w:pPr>
        <w:rPr>
          <w:sz w:val="22"/>
          <w:szCs w:val="22"/>
        </w:rPr>
      </w:pPr>
    </w:p>
    <w:p w:rsidR="00521EF8" w:rsidRPr="000E65DA" w:rsidRDefault="00521EF8" w:rsidP="00521EF8">
      <w:pPr>
        <w:rPr>
          <w:sz w:val="22"/>
          <w:szCs w:val="22"/>
        </w:rPr>
      </w:pPr>
      <w:r>
        <w:rPr>
          <w:sz w:val="22"/>
          <w:szCs w:val="22"/>
        </w:rPr>
        <w:t xml:space="preserve">The ADA and AAPD </w:t>
      </w:r>
      <w:r w:rsidRPr="000E65DA">
        <w:rPr>
          <w:sz w:val="22"/>
          <w:szCs w:val="22"/>
        </w:rPr>
        <w:t>support state flexibility and innovation</w:t>
      </w:r>
      <w:r>
        <w:rPr>
          <w:sz w:val="22"/>
          <w:szCs w:val="22"/>
        </w:rPr>
        <w:t>,</w:t>
      </w:r>
      <w:r w:rsidRPr="000E65DA">
        <w:rPr>
          <w:sz w:val="22"/>
          <w:szCs w:val="22"/>
        </w:rPr>
        <w:t xml:space="preserve"> and </w:t>
      </w:r>
      <w:r>
        <w:rPr>
          <w:sz w:val="22"/>
          <w:szCs w:val="22"/>
        </w:rPr>
        <w:t xml:space="preserve">yet </w:t>
      </w:r>
      <w:r w:rsidRPr="000E65DA">
        <w:rPr>
          <w:sz w:val="22"/>
          <w:szCs w:val="22"/>
        </w:rPr>
        <w:t>also believe states should follow statutory guidelines when designing their CHIP benefit programs</w:t>
      </w:r>
      <w:r>
        <w:rPr>
          <w:sz w:val="22"/>
          <w:szCs w:val="22"/>
        </w:rPr>
        <w:t xml:space="preserve">. </w:t>
      </w:r>
      <w:r w:rsidR="00710762">
        <w:rPr>
          <w:sz w:val="22"/>
          <w:szCs w:val="22"/>
        </w:rPr>
        <w:t xml:space="preserve"> </w:t>
      </w:r>
      <w:r>
        <w:rPr>
          <w:sz w:val="22"/>
          <w:szCs w:val="22"/>
        </w:rPr>
        <w:t>W</w:t>
      </w:r>
      <w:r w:rsidRPr="000E65DA">
        <w:rPr>
          <w:sz w:val="22"/>
          <w:szCs w:val="22"/>
        </w:rPr>
        <w:t xml:space="preserve">ithout such guidelines, </w:t>
      </w:r>
      <w:r>
        <w:rPr>
          <w:sz w:val="22"/>
          <w:szCs w:val="22"/>
        </w:rPr>
        <w:t xml:space="preserve">oral health </w:t>
      </w:r>
      <w:r w:rsidRPr="000E65DA">
        <w:rPr>
          <w:sz w:val="22"/>
          <w:szCs w:val="22"/>
        </w:rPr>
        <w:t xml:space="preserve">care can and may be reduced or eliminated entirely. </w:t>
      </w:r>
      <w:r w:rsidR="00710762">
        <w:rPr>
          <w:sz w:val="22"/>
          <w:szCs w:val="22"/>
        </w:rPr>
        <w:t xml:space="preserve"> </w:t>
      </w:r>
      <w:r>
        <w:rPr>
          <w:sz w:val="22"/>
          <w:szCs w:val="22"/>
        </w:rPr>
        <w:t xml:space="preserve">Case in point, </w:t>
      </w:r>
      <w:r w:rsidRPr="000E65DA">
        <w:rPr>
          <w:sz w:val="22"/>
          <w:szCs w:val="22"/>
        </w:rPr>
        <w:t>prior to the enactment of the Children’s Health Insurance Program Reauthorization Act of 2009, states had the ability to limit or eliminate dental benefits for enrolled children</w:t>
      </w:r>
      <w:r>
        <w:rPr>
          <w:sz w:val="22"/>
          <w:szCs w:val="22"/>
        </w:rPr>
        <w:t xml:space="preserve">. </w:t>
      </w:r>
      <w:r w:rsidR="00710762">
        <w:rPr>
          <w:sz w:val="22"/>
          <w:szCs w:val="22"/>
        </w:rPr>
        <w:t xml:space="preserve"> </w:t>
      </w:r>
      <w:r>
        <w:rPr>
          <w:sz w:val="22"/>
          <w:szCs w:val="22"/>
        </w:rPr>
        <w:t>Programs varied widely, and children suffered as a result.</w:t>
      </w:r>
      <w:r w:rsidRPr="000E65DA">
        <w:rPr>
          <w:sz w:val="22"/>
          <w:szCs w:val="22"/>
        </w:rPr>
        <w:t xml:space="preserve"> </w:t>
      </w:r>
      <w:r>
        <w:rPr>
          <w:sz w:val="22"/>
          <w:szCs w:val="22"/>
        </w:rPr>
        <w:t xml:space="preserve"> </w:t>
      </w:r>
      <w:r w:rsidRPr="000E65DA">
        <w:rPr>
          <w:sz w:val="22"/>
          <w:szCs w:val="22"/>
        </w:rPr>
        <w:t>We urge you and your colleagues to ensure that states will not be able to limit or eliminate the dental benefits that now serve to improve the health of millions of children.</w:t>
      </w:r>
    </w:p>
    <w:p w:rsidR="00521EF8" w:rsidRPr="000E65DA" w:rsidRDefault="00521EF8" w:rsidP="00521EF8">
      <w:pPr>
        <w:rPr>
          <w:sz w:val="22"/>
          <w:szCs w:val="22"/>
        </w:rPr>
      </w:pPr>
    </w:p>
    <w:p w:rsidR="00521EF8" w:rsidRDefault="00521EF8" w:rsidP="00521EF8">
      <w:pPr>
        <w:rPr>
          <w:sz w:val="22"/>
          <w:szCs w:val="22"/>
        </w:rPr>
      </w:pPr>
      <w:r>
        <w:rPr>
          <w:sz w:val="22"/>
          <w:szCs w:val="22"/>
        </w:rPr>
        <w:t xml:space="preserve">Please </w:t>
      </w:r>
      <w:r w:rsidRPr="000E65DA">
        <w:rPr>
          <w:sz w:val="22"/>
          <w:szCs w:val="22"/>
        </w:rPr>
        <w:t>utilize our organizatio</w:t>
      </w:r>
      <w:r>
        <w:rPr>
          <w:sz w:val="22"/>
          <w:szCs w:val="22"/>
        </w:rPr>
        <w:t>ns</w:t>
      </w:r>
      <w:r w:rsidRPr="000E65DA">
        <w:rPr>
          <w:sz w:val="22"/>
          <w:szCs w:val="22"/>
        </w:rPr>
        <w:t xml:space="preserve"> as a resource</w:t>
      </w:r>
      <w:r>
        <w:rPr>
          <w:sz w:val="22"/>
          <w:szCs w:val="22"/>
        </w:rPr>
        <w:t xml:space="preserve">. </w:t>
      </w:r>
      <w:r w:rsidR="0045280D">
        <w:rPr>
          <w:sz w:val="22"/>
          <w:szCs w:val="22"/>
        </w:rPr>
        <w:t xml:space="preserve"> </w:t>
      </w:r>
      <w:r>
        <w:rPr>
          <w:sz w:val="22"/>
          <w:szCs w:val="22"/>
        </w:rPr>
        <w:t>We</w:t>
      </w:r>
      <w:r w:rsidRPr="000E65DA">
        <w:rPr>
          <w:sz w:val="22"/>
          <w:szCs w:val="22"/>
        </w:rPr>
        <w:t xml:space="preserve"> look forward to working with you to ensure that our nation’s children can continue to benefit from measurable improvements in oral health care and access to dental coverage</w:t>
      </w:r>
      <w:r>
        <w:rPr>
          <w:sz w:val="22"/>
          <w:szCs w:val="22"/>
        </w:rPr>
        <w:t xml:space="preserve">.  Should you have any questions, please feel free to contact Ms. Janice E. Kupiec with the ADA, </w:t>
      </w:r>
      <w:hyperlink r:id="rId9" w:history="1">
        <w:r w:rsidRPr="00871DFE">
          <w:rPr>
            <w:rStyle w:val="Hyperlink"/>
            <w:sz w:val="22"/>
            <w:szCs w:val="22"/>
          </w:rPr>
          <w:t>kupiecj@ada.org</w:t>
        </w:r>
      </w:hyperlink>
      <w:r>
        <w:rPr>
          <w:sz w:val="22"/>
          <w:szCs w:val="22"/>
        </w:rPr>
        <w:t xml:space="preserve">, or Mr. C. Scott Litch with the AAPD, </w:t>
      </w:r>
      <w:hyperlink r:id="rId10" w:history="1">
        <w:r w:rsidRPr="00871DFE">
          <w:rPr>
            <w:rStyle w:val="Hyperlink"/>
            <w:sz w:val="22"/>
            <w:szCs w:val="22"/>
          </w:rPr>
          <w:t>slitch@aapd.org</w:t>
        </w:r>
      </w:hyperlink>
      <w:r>
        <w:rPr>
          <w:sz w:val="22"/>
          <w:szCs w:val="22"/>
        </w:rPr>
        <w:t>.</w:t>
      </w:r>
    </w:p>
    <w:p w:rsidR="00521EF8" w:rsidRDefault="00521EF8" w:rsidP="00521EF8">
      <w:pPr>
        <w:rPr>
          <w:sz w:val="22"/>
          <w:szCs w:val="22"/>
        </w:rPr>
      </w:pPr>
    </w:p>
    <w:p w:rsidR="00521EF8" w:rsidRDefault="00521EF8" w:rsidP="00521EF8">
      <w:pPr>
        <w:rPr>
          <w:sz w:val="22"/>
          <w:szCs w:val="22"/>
        </w:rPr>
      </w:pPr>
    </w:p>
    <w:p w:rsidR="00521EF8" w:rsidRDefault="00777589" w:rsidP="00521EF8">
      <w:pPr>
        <w:rPr>
          <w:sz w:val="22"/>
          <w:szCs w:val="22"/>
        </w:rPr>
      </w:pPr>
      <w:r>
        <w:rPr>
          <w:noProof/>
          <w:sz w:val="22"/>
          <w:szCs w:val="22"/>
        </w:rPr>
        <w:drawing>
          <wp:anchor distT="0" distB="0" distL="114300" distR="114300" simplePos="0" relativeHeight="251661312" behindDoc="1" locked="0" layoutInCell="1" allowOverlap="1" wp14:anchorId="585AD7B1" wp14:editId="30119956">
            <wp:simplePos x="0" y="0"/>
            <wp:positionH relativeFrom="column">
              <wp:posOffset>3133725</wp:posOffset>
            </wp:positionH>
            <wp:positionV relativeFrom="paragraph">
              <wp:posOffset>81280</wp:posOffset>
            </wp:positionV>
            <wp:extent cx="2197100" cy="8712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tkausk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7100" cy="871220"/>
                    </a:xfrm>
                    <a:prstGeom prst="rect">
                      <a:avLst/>
                    </a:prstGeom>
                  </pic:spPr>
                </pic:pic>
              </a:graphicData>
            </a:graphic>
            <wp14:sizeRelH relativeFrom="page">
              <wp14:pctWidth>0</wp14:pctWidth>
            </wp14:sizeRelH>
            <wp14:sizeRelV relativeFrom="page">
              <wp14:pctHeight>0</wp14:pctHeight>
            </wp14:sizeRelV>
          </wp:anchor>
        </w:drawing>
      </w:r>
      <w:r w:rsidR="00521EF8">
        <w:rPr>
          <w:sz w:val="22"/>
          <w:szCs w:val="22"/>
        </w:rPr>
        <w:t>Sincerely,</w:t>
      </w:r>
    </w:p>
    <w:p w:rsidR="00521EF8" w:rsidRDefault="00777589" w:rsidP="00521EF8">
      <w:pPr>
        <w:rPr>
          <w:sz w:val="22"/>
          <w:szCs w:val="22"/>
        </w:rPr>
      </w:pPr>
      <w:r w:rsidRPr="002807DA">
        <w:rPr>
          <w:noProof/>
          <w:sz w:val="22"/>
          <w:szCs w:val="22"/>
        </w:rPr>
        <w:drawing>
          <wp:anchor distT="0" distB="0" distL="114300" distR="114300" simplePos="0" relativeHeight="251663360" behindDoc="0" locked="0" layoutInCell="1" allowOverlap="1" wp14:anchorId="64318BF0" wp14:editId="5BD266F4">
            <wp:simplePos x="0" y="0"/>
            <wp:positionH relativeFrom="column">
              <wp:posOffset>0</wp:posOffset>
            </wp:positionH>
            <wp:positionV relativeFrom="paragraph">
              <wp:posOffset>149225</wp:posOffset>
            </wp:positionV>
            <wp:extent cx="1857375" cy="540385"/>
            <wp:effectExtent l="0" t="0" r="9525" b="0"/>
            <wp:wrapNone/>
            <wp:docPr id="7" name="Picture 7" descr="6 26 SEMI FORMAL Kathy O'Lough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26 SEMI FORMAL Kathy O'Loughlin.jp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540385"/>
                    </a:xfrm>
                    <a:prstGeom prst="rect">
                      <a:avLst/>
                    </a:prstGeom>
                    <a:noFill/>
                  </pic:spPr>
                </pic:pic>
              </a:graphicData>
            </a:graphic>
            <wp14:sizeRelH relativeFrom="page">
              <wp14:pctWidth>0</wp14:pctWidth>
            </wp14:sizeRelH>
            <wp14:sizeRelV relativeFrom="page">
              <wp14:pctHeight>0</wp14:pctHeight>
            </wp14:sizeRelV>
          </wp:anchor>
        </w:drawing>
      </w:r>
    </w:p>
    <w:p w:rsidR="00521EF8" w:rsidRDefault="00521EF8" w:rsidP="00521EF8">
      <w:pPr>
        <w:rPr>
          <w:sz w:val="22"/>
          <w:szCs w:val="22"/>
        </w:rPr>
      </w:pPr>
    </w:p>
    <w:p w:rsidR="00521EF8" w:rsidRDefault="00521EF8" w:rsidP="00521EF8">
      <w:pPr>
        <w:rPr>
          <w:sz w:val="22"/>
          <w:szCs w:val="22"/>
        </w:rPr>
      </w:pPr>
    </w:p>
    <w:p w:rsidR="00777589" w:rsidRDefault="00777589" w:rsidP="00521EF8">
      <w:pPr>
        <w:rPr>
          <w:sz w:val="22"/>
          <w:szCs w:val="22"/>
        </w:rPr>
      </w:pPr>
    </w:p>
    <w:p w:rsidR="00521EF8" w:rsidRDefault="00521EF8" w:rsidP="00521EF8">
      <w:pPr>
        <w:rPr>
          <w:sz w:val="22"/>
          <w:szCs w:val="22"/>
        </w:rPr>
      </w:pPr>
      <w:r>
        <w:rPr>
          <w:sz w:val="22"/>
          <w:szCs w:val="22"/>
        </w:rPr>
        <w:t>Kathleen O’Loughlin DMD, MPH</w:t>
      </w:r>
      <w:r>
        <w:rPr>
          <w:sz w:val="22"/>
          <w:szCs w:val="22"/>
        </w:rPr>
        <w:tab/>
      </w:r>
      <w:r>
        <w:rPr>
          <w:sz w:val="22"/>
          <w:szCs w:val="22"/>
        </w:rPr>
        <w:tab/>
      </w:r>
      <w:r>
        <w:rPr>
          <w:sz w:val="22"/>
          <w:szCs w:val="22"/>
        </w:rPr>
        <w:tab/>
        <w:t xml:space="preserve">John </w:t>
      </w:r>
      <w:proofErr w:type="spellStart"/>
      <w:r>
        <w:rPr>
          <w:sz w:val="22"/>
          <w:szCs w:val="22"/>
        </w:rPr>
        <w:t>Rutkauskas</w:t>
      </w:r>
      <w:proofErr w:type="spellEnd"/>
      <w:r>
        <w:rPr>
          <w:sz w:val="22"/>
          <w:szCs w:val="22"/>
        </w:rPr>
        <w:t xml:space="preserve"> DDS, MBA, CAE</w:t>
      </w:r>
    </w:p>
    <w:p w:rsidR="00521EF8" w:rsidRDefault="00521EF8" w:rsidP="00521EF8">
      <w:pPr>
        <w:rPr>
          <w:sz w:val="22"/>
          <w:szCs w:val="22"/>
        </w:rPr>
      </w:pPr>
      <w:r>
        <w:rPr>
          <w:sz w:val="22"/>
          <w:szCs w:val="22"/>
        </w:rPr>
        <w:t>Executive Director</w:t>
      </w:r>
      <w:r>
        <w:rPr>
          <w:sz w:val="22"/>
          <w:szCs w:val="22"/>
        </w:rPr>
        <w:tab/>
      </w:r>
      <w:r>
        <w:rPr>
          <w:sz w:val="22"/>
          <w:szCs w:val="22"/>
        </w:rPr>
        <w:tab/>
      </w:r>
      <w:r>
        <w:rPr>
          <w:sz w:val="22"/>
          <w:szCs w:val="22"/>
        </w:rPr>
        <w:tab/>
      </w:r>
      <w:r>
        <w:rPr>
          <w:sz w:val="22"/>
          <w:szCs w:val="22"/>
        </w:rPr>
        <w:tab/>
      </w:r>
      <w:r>
        <w:rPr>
          <w:sz w:val="22"/>
          <w:szCs w:val="22"/>
        </w:rPr>
        <w:tab/>
        <w:t>Chief Executive Officer</w:t>
      </w:r>
    </w:p>
    <w:p w:rsidR="00521EF8" w:rsidRPr="000E65DA" w:rsidRDefault="00521EF8" w:rsidP="00521EF8">
      <w:pPr>
        <w:rPr>
          <w:sz w:val="22"/>
          <w:szCs w:val="22"/>
        </w:rPr>
      </w:pPr>
      <w:r>
        <w:rPr>
          <w:sz w:val="22"/>
          <w:szCs w:val="22"/>
        </w:rPr>
        <w:t>American Dental Association</w:t>
      </w:r>
      <w:r>
        <w:rPr>
          <w:sz w:val="22"/>
          <w:szCs w:val="22"/>
        </w:rPr>
        <w:tab/>
      </w:r>
      <w:r>
        <w:rPr>
          <w:sz w:val="22"/>
          <w:szCs w:val="22"/>
        </w:rPr>
        <w:tab/>
      </w:r>
      <w:r>
        <w:rPr>
          <w:sz w:val="22"/>
          <w:szCs w:val="22"/>
        </w:rPr>
        <w:tab/>
      </w:r>
      <w:r>
        <w:rPr>
          <w:sz w:val="22"/>
          <w:szCs w:val="22"/>
        </w:rPr>
        <w:tab/>
        <w:t>American Academy of Pediatric Dentistry</w:t>
      </w:r>
    </w:p>
    <w:p w:rsidR="00812C08" w:rsidRDefault="00812C08" w:rsidP="00D82053">
      <w:pPr>
        <w:rPr>
          <w:sz w:val="22"/>
          <w:szCs w:val="22"/>
        </w:rPr>
      </w:pPr>
    </w:p>
    <w:sectPr w:rsidR="00812C08" w:rsidSect="00CB023F">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2B" w:rsidRDefault="00DF1F2B" w:rsidP="00E47195">
      <w:r>
        <w:separator/>
      </w:r>
    </w:p>
  </w:endnote>
  <w:endnote w:type="continuationSeparator" w:id="0">
    <w:p w:rsidR="00DF1F2B" w:rsidRDefault="00DF1F2B" w:rsidP="00E4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2B" w:rsidRDefault="00DF1F2B" w:rsidP="00E47195">
      <w:r>
        <w:separator/>
      </w:r>
    </w:p>
  </w:footnote>
  <w:footnote w:type="continuationSeparator" w:id="0">
    <w:p w:rsidR="00DF1F2B" w:rsidRDefault="00DF1F2B" w:rsidP="00E47195">
      <w:r>
        <w:continuationSeparator/>
      </w:r>
    </w:p>
  </w:footnote>
  <w:footnote w:id="1">
    <w:p w:rsidR="00521EF8" w:rsidRPr="001753F5" w:rsidRDefault="00521EF8" w:rsidP="00521EF8">
      <w:pPr>
        <w:pStyle w:val="FootnoteText"/>
        <w:rPr>
          <w:sz w:val="16"/>
          <w:szCs w:val="16"/>
        </w:rPr>
      </w:pPr>
      <w:r>
        <w:rPr>
          <w:rStyle w:val="FootnoteReference"/>
        </w:rPr>
        <w:footnoteRef/>
      </w:r>
      <w:r>
        <w:t xml:space="preserve"> </w:t>
      </w:r>
      <w:r w:rsidRPr="001753F5">
        <w:rPr>
          <w:sz w:val="16"/>
          <w:szCs w:val="16"/>
        </w:rPr>
        <w:t xml:space="preserve">Sun BC et al. Emergency department visits for </w:t>
      </w:r>
      <w:proofErr w:type="spellStart"/>
      <w:r w:rsidRPr="001753F5">
        <w:rPr>
          <w:sz w:val="16"/>
          <w:szCs w:val="16"/>
        </w:rPr>
        <w:t>nontraumatic</w:t>
      </w:r>
      <w:proofErr w:type="spellEnd"/>
      <w:r w:rsidRPr="001753F5">
        <w:rPr>
          <w:sz w:val="16"/>
          <w:szCs w:val="16"/>
        </w:rPr>
        <w:t xml:space="preserve"> dental problems: A mixed-methods study.</w:t>
      </w:r>
      <w:r>
        <w:rPr>
          <w:sz w:val="16"/>
          <w:szCs w:val="16"/>
        </w:rPr>
        <w:t xml:space="preserve"> </w:t>
      </w:r>
      <w:r w:rsidRPr="001753F5">
        <w:rPr>
          <w:sz w:val="16"/>
          <w:szCs w:val="16"/>
        </w:rPr>
        <w:t>American Journal of Public health, 2015; 105(5): 947-955.</w:t>
      </w:r>
    </w:p>
  </w:footnote>
  <w:footnote w:id="2">
    <w:p w:rsidR="00521EF8" w:rsidRPr="00471FBD" w:rsidRDefault="00521EF8" w:rsidP="00521EF8">
      <w:pPr>
        <w:pStyle w:val="FootnoteText"/>
        <w:rPr>
          <w:sz w:val="16"/>
          <w:szCs w:val="16"/>
        </w:rPr>
      </w:pPr>
      <w:r>
        <w:rPr>
          <w:rStyle w:val="FootnoteReference"/>
        </w:rPr>
        <w:footnoteRef/>
      </w:r>
      <w:r>
        <w:t xml:space="preserve"> </w:t>
      </w:r>
      <w:r>
        <w:rPr>
          <w:sz w:val="16"/>
          <w:szCs w:val="16"/>
        </w:rPr>
        <w:t xml:space="preserve">American Dental Association Health Policy Institute analysis of 2014 </w:t>
      </w:r>
      <w:proofErr w:type="spellStart"/>
      <w:r>
        <w:rPr>
          <w:sz w:val="16"/>
          <w:szCs w:val="16"/>
        </w:rPr>
        <w:t>Truven</w:t>
      </w:r>
      <w:proofErr w:type="spellEnd"/>
      <w:r>
        <w:rPr>
          <w:sz w:val="16"/>
          <w:szCs w:val="16"/>
        </w:rPr>
        <w:t xml:space="preserve"> and </w:t>
      </w:r>
      <w:r w:rsidRPr="00A6543E">
        <w:rPr>
          <w:sz w:val="16"/>
          <w:szCs w:val="16"/>
        </w:rPr>
        <w:t>Nationwide Emergency Department Sample</w:t>
      </w:r>
      <w:r>
        <w:rPr>
          <w:sz w:val="16"/>
          <w:szCs w:val="16"/>
        </w:rPr>
        <w:t xml:space="preserve"> data.  Accessed May 25, 2017.</w:t>
      </w:r>
    </w:p>
  </w:footnote>
  <w:footnote w:id="3">
    <w:p w:rsidR="00521EF8" w:rsidRPr="00AB3912" w:rsidRDefault="00521EF8" w:rsidP="00521EF8">
      <w:pPr>
        <w:pStyle w:val="FootnoteText"/>
        <w:rPr>
          <w:sz w:val="16"/>
          <w:szCs w:val="16"/>
        </w:rPr>
      </w:pPr>
      <w:r w:rsidRPr="00AB3912">
        <w:rPr>
          <w:rStyle w:val="FootnoteReference"/>
          <w:sz w:val="16"/>
          <w:szCs w:val="16"/>
        </w:rPr>
        <w:footnoteRef/>
      </w:r>
      <w:r w:rsidRPr="00AB3912">
        <w:rPr>
          <w:sz w:val="16"/>
          <w:szCs w:val="16"/>
        </w:rPr>
        <w:t xml:space="preserve"> </w:t>
      </w:r>
      <w:proofErr w:type="spellStart"/>
      <w:r w:rsidRPr="00AB3912">
        <w:rPr>
          <w:sz w:val="16"/>
          <w:szCs w:val="16"/>
        </w:rPr>
        <w:t>Nasseh</w:t>
      </w:r>
      <w:proofErr w:type="spellEnd"/>
      <w:r w:rsidRPr="00AB3912">
        <w:rPr>
          <w:sz w:val="16"/>
          <w:szCs w:val="16"/>
        </w:rPr>
        <w:t xml:space="preserve"> K., Vujicic M. Dental benefits coverage increase for working-age adults in 2014. Health Policy Institute Research Brief. American Dental Association. October 2016. Available: </w:t>
      </w:r>
      <w:hyperlink r:id="rId1" w:history="1">
        <w:r w:rsidRPr="00AB3912">
          <w:rPr>
            <w:rStyle w:val="Hyperlink"/>
            <w:sz w:val="16"/>
            <w:szCs w:val="16"/>
          </w:rPr>
          <w:t>http://www.ada.org/~/media/ADA/Science%20and%20Research/HPI/Files/HPIBrief_1016_2.pdf?la=en</w:t>
        </w:r>
      </w:hyperlink>
      <w:r w:rsidRPr="00AB3912">
        <w:rPr>
          <w:rStyle w:val="Hyperlink"/>
          <w:sz w:val="16"/>
          <w:szCs w:val="16"/>
        </w:rPr>
        <w:t xml:space="preserve">. </w:t>
      </w:r>
    </w:p>
  </w:footnote>
  <w:footnote w:id="4">
    <w:p w:rsidR="00521EF8" w:rsidRDefault="00521EF8" w:rsidP="00521EF8">
      <w:pPr>
        <w:pStyle w:val="FootnoteText"/>
      </w:pPr>
      <w:r w:rsidRPr="00AB3912">
        <w:rPr>
          <w:rStyle w:val="FootnoteReference"/>
          <w:sz w:val="16"/>
          <w:szCs w:val="16"/>
        </w:rPr>
        <w:footnoteRef/>
      </w:r>
      <w:r w:rsidRPr="00AB3912">
        <w:rPr>
          <w:sz w:val="16"/>
          <w:szCs w:val="16"/>
        </w:rPr>
        <w:t xml:space="preserve"> Saint Louis C. Untreated dental decay is falling among children. New York Times. March 5, 2015. Available from: </w:t>
      </w:r>
      <w:hyperlink r:id="rId2" w:history="1">
        <w:r w:rsidRPr="00AB3912">
          <w:rPr>
            <w:rStyle w:val="Hyperlink"/>
            <w:sz w:val="16"/>
            <w:szCs w:val="16"/>
          </w:rPr>
          <w:t>https://well.blogs.nytimes.com/2015/03/05/untreated-dental-decay-is-falling-among-children/?_r=0</w:t>
        </w:r>
      </w:hyperlink>
      <w:r w:rsidRPr="00AB3912">
        <w:rPr>
          <w:sz w:val="16"/>
          <w:szCs w:val="16"/>
        </w:rPr>
        <w:t>.</w:t>
      </w:r>
      <w:r>
        <w:t xml:space="preserve"> </w:t>
      </w:r>
    </w:p>
  </w:footnote>
  <w:footnote w:id="5">
    <w:p w:rsidR="00521EF8" w:rsidRPr="005F2560" w:rsidRDefault="00521EF8" w:rsidP="00521EF8">
      <w:pPr>
        <w:pStyle w:val="FootnoteText"/>
        <w:rPr>
          <w:sz w:val="16"/>
          <w:szCs w:val="16"/>
        </w:rPr>
      </w:pPr>
      <w:r w:rsidRPr="005F2560">
        <w:rPr>
          <w:rStyle w:val="FootnoteReference"/>
          <w:sz w:val="16"/>
          <w:szCs w:val="16"/>
        </w:rPr>
        <w:footnoteRef/>
      </w:r>
      <w:r w:rsidRPr="005F2560">
        <w:rPr>
          <w:sz w:val="16"/>
          <w:szCs w:val="16"/>
        </w:rPr>
        <w:t xml:space="preserve"> Wall T, Vujicic M. Emergency department visits for dental conditions fell in 2013. Health Policy Institute Research Brief. American Dental Association. February 2016. Available from: </w:t>
      </w:r>
      <w:hyperlink r:id="rId3" w:history="1">
        <w:r w:rsidRPr="005F2560">
          <w:rPr>
            <w:rStyle w:val="Hyperlink"/>
            <w:sz w:val="16"/>
            <w:szCs w:val="16"/>
          </w:rPr>
          <w:t>http://www.ada.org/~/media/ADA/Science%20and%20Research/HPI/Files/HPIBrief_0216_1.pdf?la=en</w:t>
        </w:r>
      </w:hyperlink>
      <w:r w:rsidRPr="005F256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0437B"/>
    <w:multiLevelType w:val="hybridMultilevel"/>
    <w:tmpl w:val="9B7E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29"/>
    <w:rsid w:val="000020D2"/>
    <w:rsid w:val="000224DF"/>
    <w:rsid w:val="001A55FA"/>
    <w:rsid w:val="002D5198"/>
    <w:rsid w:val="00331C79"/>
    <w:rsid w:val="003A3451"/>
    <w:rsid w:val="003C0870"/>
    <w:rsid w:val="0045280D"/>
    <w:rsid w:val="005001AB"/>
    <w:rsid w:val="00520C44"/>
    <w:rsid w:val="00521EF8"/>
    <w:rsid w:val="00642A7C"/>
    <w:rsid w:val="006E202A"/>
    <w:rsid w:val="00710762"/>
    <w:rsid w:val="007633A4"/>
    <w:rsid w:val="00777589"/>
    <w:rsid w:val="007F2FC3"/>
    <w:rsid w:val="00812C08"/>
    <w:rsid w:val="009607B4"/>
    <w:rsid w:val="009A209B"/>
    <w:rsid w:val="00AD3842"/>
    <w:rsid w:val="00B76229"/>
    <w:rsid w:val="00CB023F"/>
    <w:rsid w:val="00CE0141"/>
    <w:rsid w:val="00D70CAE"/>
    <w:rsid w:val="00D82053"/>
    <w:rsid w:val="00DF1F2B"/>
    <w:rsid w:val="00E3437B"/>
    <w:rsid w:val="00E41BF2"/>
    <w:rsid w:val="00E47195"/>
    <w:rsid w:val="00F7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1D5D-B6A4-4393-BC65-DC3950F6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 B"/>
    <w:basedOn w:val="Normal"/>
    <w:rsid w:val="00B76229"/>
    <w:pPr>
      <w:keepNext/>
      <w:spacing w:before="380" w:after="120"/>
    </w:pPr>
    <w:rPr>
      <w:rFonts w:ascii="Times New Roman" w:hAnsi="Times New Roman" w:cs="Times New Roman"/>
      <w:b/>
      <w:bCs/>
      <w:sz w:val="19"/>
      <w:szCs w:val="19"/>
    </w:rPr>
  </w:style>
  <w:style w:type="character" w:customStyle="1" w:styleId="Body-FirstParagraphChar">
    <w:name w:val="Body - First Paragraph Char"/>
    <w:basedOn w:val="DefaultParagraphFont"/>
    <w:link w:val="Body-FirstParagraph"/>
    <w:locked/>
    <w:rsid w:val="00B76229"/>
  </w:style>
  <w:style w:type="paragraph" w:customStyle="1" w:styleId="Body-FirstParagraph">
    <w:name w:val="Body - First Paragraph"/>
    <w:basedOn w:val="Normal"/>
    <w:link w:val="Body-FirstParagraphChar"/>
    <w:rsid w:val="00B76229"/>
    <w:pPr>
      <w:spacing w:before="190"/>
    </w:pPr>
  </w:style>
  <w:style w:type="character" w:customStyle="1" w:styleId="Body-noindentChar">
    <w:name w:val="Body - no indent Char"/>
    <w:basedOn w:val="DefaultParagraphFont"/>
    <w:link w:val="Body-noindent"/>
    <w:locked/>
    <w:rsid w:val="00B76229"/>
  </w:style>
  <w:style w:type="paragraph" w:customStyle="1" w:styleId="Body-noindent">
    <w:name w:val="Body - no indent"/>
    <w:basedOn w:val="Normal"/>
    <w:link w:val="Body-noindentChar"/>
    <w:rsid w:val="00B76229"/>
  </w:style>
  <w:style w:type="character" w:styleId="Hyperlink">
    <w:name w:val="Hyperlink"/>
    <w:basedOn w:val="DefaultParagraphFont"/>
    <w:uiPriority w:val="99"/>
    <w:unhideWhenUsed/>
    <w:rsid w:val="006E202A"/>
    <w:rPr>
      <w:color w:val="0563C1" w:themeColor="hyperlink"/>
      <w:u w:val="single"/>
    </w:rPr>
  </w:style>
  <w:style w:type="paragraph" w:styleId="BodyText">
    <w:name w:val="Body Text"/>
    <w:basedOn w:val="Normal"/>
    <w:link w:val="BodyTextChar"/>
    <w:uiPriority w:val="99"/>
    <w:semiHidden/>
    <w:unhideWhenUsed/>
    <w:rsid w:val="003A3451"/>
    <w:pPr>
      <w:spacing w:after="120"/>
    </w:pPr>
  </w:style>
  <w:style w:type="character" w:customStyle="1" w:styleId="BodyTextChar">
    <w:name w:val="Body Text Char"/>
    <w:basedOn w:val="DefaultParagraphFont"/>
    <w:link w:val="BodyText"/>
    <w:uiPriority w:val="99"/>
    <w:semiHidden/>
    <w:rsid w:val="003A3451"/>
  </w:style>
  <w:style w:type="paragraph" w:styleId="ListParagraph">
    <w:name w:val="List Paragraph"/>
    <w:basedOn w:val="Normal"/>
    <w:uiPriority w:val="34"/>
    <w:qFormat/>
    <w:rsid w:val="00D82053"/>
    <w:pPr>
      <w:spacing w:after="160"/>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E47195"/>
  </w:style>
  <w:style w:type="character" w:customStyle="1" w:styleId="FootnoteTextChar">
    <w:name w:val="Footnote Text Char"/>
    <w:basedOn w:val="DefaultParagraphFont"/>
    <w:link w:val="FootnoteText"/>
    <w:uiPriority w:val="99"/>
    <w:semiHidden/>
    <w:rsid w:val="00E47195"/>
  </w:style>
  <w:style w:type="character" w:styleId="FootnoteReference">
    <w:name w:val="footnote reference"/>
    <w:basedOn w:val="DefaultParagraphFont"/>
    <w:uiPriority w:val="99"/>
    <w:semiHidden/>
    <w:unhideWhenUsed/>
    <w:rsid w:val="00E47195"/>
    <w:rPr>
      <w:vertAlign w:val="superscript"/>
    </w:rPr>
  </w:style>
  <w:style w:type="paragraph" w:styleId="Header">
    <w:name w:val="header"/>
    <w:basedOn w:val="Normal"/>
    <w:link w:val="HeaderChar"/>
    <w:uiPriority w:val="99"/>
    <w:unhideWhenUsed/>
    <w:rsid w:val="00CB023F"/>
    <w:pPr>
      <w:tabs>
        <w:tab w:val="center" w:pos="4680"/>
        <w:tab w:val="right" w:pos="9360"/>
      </w:tabs>
    </w:pPr>
  </w:style>
  <w:style w:type="character" w:customStyle="1" w:styleId="HeaderChar">
    <w:name w:val="Header Char"/>
    <w:basedOn w:val="DefaultParagraphFont"/>
    <w:link w:val="Header"/>
    <w:uiPriority w:val="99"/>
    <w:rsid w:val="00CB023F"/>
  </w:style>
  <w:style w:type="paragraph" w:styleId="Footer">
    <w:name w:val="footer"/>
    <w:basedOn w:val="Normal"/>
    <w:link w:val="FooterChar"/>
    <w:uiPriority w:val="99"/>
    <w:unhideWhenUsed/>
    <w:rsid w:val="00CB023F"/>
    <w:pPr>
      <w:tabs>
        <w:tab w:val="center" w:pos="4680"/>
        <w:tab w:val="right" w:pos="9360"/>
      </w:tabs>
    </w:pPr>
  </w:style>
  <w:style w:type="character" w:customStyle="1" w:styleId="FooterChar">
    <w:name w:val="Footer Char"/>
    <w:basedOn w:val="DefaultParagraphFont"/>
    <w:link w:val="Footer"/>
    <w:uiPriority w:val="99"/>
    <w:rsid w:val="00CB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slitch@aapd.org" TargetMode="External"/><Relationship Id="rId4" Type="http://schemas.openxmlformats.org/officeDocument/2006/relationships/webSettings" Target="webSettings.xml"/><Relationship Id="rId9" Type="http://schemas.openxmlformats.org/officeDocument/2006/relationships/hyperlink" Target="mailto:kupiecj@ad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da.org/~/media/ADA/Science%20and%20Research/HPI/Files/HPIBrief_0216_1.pdf?la=en" TargetMode="External"/><Relationship Id="rId2" Type="http://schemas.openxmlformats.org/officeDocument/2006/relationships/hyperlink" Target="https://well.blogs.nytimes.com/2015/03/05/untreated-dental-decay-is-falling-among-children/?_r=0" TargetMode="External"/><Relationship Id="rId1" Type="http://schemas.openxmlformats.org/officeDocument/2006/relationships/hyperlink" Target="http://www.ada.org/~/media/ADA/Science%20and%20Research/HPI/Files/HPIBrief_1016_2.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Spangler, Tom</dc:creator>
  <cp:keywords/>
  <dc:description/>
  <cp:lastModifiedBy>Megan Mortimer</cp:lastModifiedBy>
  <cp:revision>2</cp:revision>
  <dcterms:created xsi:type="dcterms:W3CDTF">2017-09-13T16:23:00Z</dcterms:created>
  <dcterms:modified xsi:type="dcterms:W3CDTF">2017-09-13T16:23:00Z</dcterms:modified>
</cp:coreProperties>
</file>